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Pr="00C443F2" w:rsidRDefault="00257541" w:rsidP="00BA58E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  <w:r w:rsidR="00DF0996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F25AB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капитал</w:t>
      </w:r>
      <w:r w:rsidR="00A549FF">
        <w:rPr>
          <w:rStyle w:val="a8"/>
          <w:rFonts w:ascii="Times New Roman" w:hAnsi="Times New Roman"/>
          <w:b/>
          <w:bCs/>
          <w:caps/>
        </w:rPr>
        <w:footnoteReference w:customMarkFollows="1" w:id="1"/>
        <w:t>1)</w:t>
      </w:r>
    </w:p>
    <w:p w:rsidR="005916A8" w:rsidRDefault="005916A8" w:rsidP="005916A8">
      <w:pPr>
        <w:pStyle w:val="a6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11"/>
      </w:tblGrid>
      <w:tr w:rsidR="00C443F2" w:rsidTr="00A90969">
        <w:tc>
          <w:tcPr>
            <w:tcW w:w="3828" w:type="dxa"/>
          </w:tcPr>
          <w:p w:rsidR="00C443F2" w:rsidRDefault="00C443F2" w:rsidP="00A6088F"/>
        </w:tc>
        <w:tc>
          <w:tcPr>
            <w:tcW w:w="2817" w:type="dxa"/>
            <w:vAlign w:val="center"/>
          </w:tcPr>
          <w:p w:rsidR="00C443F2" w:rsidRPr="00D3428A" w:rsidRDefault="00A90969" w:rsidP="00A6088F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2711" w:type="dxa"/>
            <w:vAlign w:val="center"/>
          </w:tcPr>
          <w:p w:rsidR="00C443F2" w:rsidRDefault="00A90969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периоду предыдущего года 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сопоставимых ценах)</w:t>
            </w:r>
            <w:proofErr w:type="gramEnd"/>
          </w:p>
        </w:tc>
      </w:tr>
      <w:tr w:rsidR="00797D1E" w:rsidTr="001E6CC2">
        <w:tc>
          <w:tcPr>
            <w:tcW w:w="9356" w:type="dxa"/>
            <w:gridSpan w:val="3"/>
          </w:tcPr>
          <w:p w:rsidR="00797D1E" w:rsidRDefault="00797D1E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</w:tr>
      <w:tr w:rsidR="00C443F2" w:rsidTr="00A90969">
        <w:tc>
          <w:tcPr>
            <w:tcW w:w="3828" w:type="dxa"/>
            <w:vAlign w:val="bottom"/>
          </w:tcPr>
          <w:p w:rsidR="00C443F2" w:rsidRP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C443F2" w:rsidRPr="00A90969" w:rsidRDefault="00A90969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09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130054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2711" w:type="dxa"/>
            <w:vAlign w:val="bottom"/>
          </w:tcPr>
          <w:p w:rsidR="00C443F2" w:rsidRPr="00A90969" w:rsidRDefault="00A90969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09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100,5</w:t>
            </w:r>
          </w:p>
        </w:tc>
      </w:tr>
      <w:tr w:rsidR="00774C26" w:rsidTr="00A90969">
        <w:tc>
          <w:tcPr>
            <w:tcW w:w="3828" w:type="dxa"/>
            <w:vAlign w:val="bottom"/>
          </w:tcPr>
          <w:p w:rsid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774C26" w:rsidRPr="00774C26" w:rsidRDefault="00774C26" w:rsidP="00774C26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241319</w:t>
            </w:r>
            <w:r w:rsidRPr="00774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2711" w:type="dxa"/>
            <w:vAlign w:val="bottom"/>
          </w:tcPr>
          <w:p w:rsidR="00774C26" w:rsidRPr="00774C26" w:rsidRDefault="00774C26" w:rsidP="00774C26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129,4</w:t>
            </w:r>
          </w:p>
        </w:tc>
      </w:tr>
      <w:tr w:rsidR="00797D1E" w:rsidTr="00A90969">
        <w:tc>
          <w:tcPr>
            <w:tcW w:w="3828" w:type="dxa"/>
            <w:vAlign w:val="bottom"/>
          </w:tcPr>
          <w:p w:rsidR="00797D1E" w:rsidRP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полугодие</w:t>
            </w:r>
          </w:p>
        </w:tc>
        <w:tc>
          <w:tcPr>
            <w:tcW w:w="2817" w:type="dxa"/>
            <w:vAlign w:val="bottom"/>
          </w:tcPr>
          <w:p w:rsidR="00797D1E" w:rsidRPr="00797D1E" w:rsidRDefault="00797D1E" w:rsidP="00797D1E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7D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371374,2</w:t>
            </w:r>
          </w:p>
        </w:tc>
        <w:tc>
          <w:tcPr>
            <w:tcW w:w="2711" w:type="dxa"/>
            <w:vAlign w:val="bottom"/>
          </w:tcPr>
          <w:p w:rsidR="00797D1E" w:rsidRPr="00A90969" w:rsidRDefault="00797D1E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117,6</w:t>
            </w:r>
          </w:p>
        </w:tc>
      </w:tr>
    </w:tbl>
    <w:p w:rsidR="005916A8" w:rsidRDefault="005916A8" w:rsidP="00A549FF">
      <w:pPr>
        <w:pStyle w:val="a6"/>
      </w:pPr>
      <w:bookmarkStart w:id="0" w:name="_GoBack"/>
      <w:bookmarkEnd w:id="0"/>
    </w:p>
    <w:sectPr w:rsidR="005916A8" w:rsidSect="00774C26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97" w:rsidRDefault="00615C97" w:rsidP="002A53DB">
      <w:pPr>
        <w:spacing w:after="0" w:line="240" w:lineRule="auto"/>
      </w:pPr>
      <w:r>
        <w:separator/>
      </w:r>
    </w:p>
  </w:endnote>
  <w:endnote w:type="continuationSeparator" w:id="0">
    <w:p w:rsidR="00615C97" w:rsidRDefault="00615C97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3888"/>
      <w:gridCol w:w="1780"/>
      <w:gridCol w:w="3688"/>
    </w:tblGrid>
    <w:tr w:rsidR="00774C26" w:rsidTr="00774C26">
      <w:trPr>
        <w:trHeight w:hRule="exact" w:val="244"/>
      </w:trPr>
      <w:tc>
        <w:tcPr>
          <w:tcW w:w="3888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:rsidR="00774C26" w:rsidRDefault="00774C26" w:rsidP="002B790F">
          <w:pPr>
            <w:pStyle w:val="af"/>
          </w:pPr>
        </w:p>
      </w:tc>
      <w:tc>
        <w:tcPr>
          <w:tcW w:w="178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74C26" w:rsidRPr="00E7065D" w:rsidRDefault="00774C26" w:rsidP="002B790F">
          <w:pPr>
            <w:pStyle w:val="af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7C9E">
            <w:rPr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МОССТАТ</w:t>
          </w:r>
        </w:p>
      </w:tc>
      <w:tc>
        <w:tcPr>
          <w:tcW w:w="3688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:rsidR="00774C26" w:rsidRDefault="00774C26" w:rsidP="002B790F">
          <w:pPr>
            <w:pStyle w:val="af"/>
          </w:pPr>
        </w:p>
      </w:tc>
    </w:tr>
    <w:tr w:rsidR="00774C26" w:rsidTr="00774C26">
      <w:trPr>
        <w:trHeight w:hRule="exact" w:val="244"/>
      </w:trPr>
      <w:tc>
        <w:tcPr>
          <w:tcW w:w="3888" w:type="dxa"/>
          <w:tcBorders>
            <w:top w:val="single" w:sz="12" w:space="0" w:color="595959" w:themeColor="text1" w:themeTint="A6"/>
            <w:left w:val="nil"/>
            <w:bottom w:val="nil"/>
            <w:right w:val="nil"/>
          </w:tcBorders>
        </w:tcPr>
        <w:p w:rsidR="00774C26" w:rsidRDefault="00774C26" w:rsidP="002B790F">
          <w:pPr>
            <w:pStyle w:val="af"/>
          </w:pPr>
        </w:p>
      </w:tc>
      <w:tc>
        <w:tcPr>
          <w:tcW w:w="1780" w:type="dxa"/>
          <w:vMerge/>
          <w:tcBorders>
            <w:top w:val="nil"/>
            <w:left w:val="nil"/>
            <w:bottom w:val="nil"/>
            <w:right w:val="nil"/>
          </w:tcBorders>
        </w:tcPr>
        <w:p w:rsidR="00774C26" w:rsidRDefault="00774C26" w:rsidP="002B790F">
          <w:pPr>
            <w:pStyle w:val="af"/>
          </w:pPr>
        </w:p>
      </w:tc>
      <w:tc>
        <w:tcPr>
          <w:tcW w:w="3688" w:type="dxa"/>
          <w:tcBorders>
            <w:top w:val="single" w:sz="12" w:space="0" w:color="595959" w:themeColor="text1" w:themeTint="A6"/>
            <w:left w:val="nil"/>
            <w:bottom w:val="nil"/>
            <w:right w:val="nil"/>
          </w:tcBorders>
        </w:tcPr>
        <w:p w:rsidR="00774C26" w:rsidRDefault="00774C26" w:rsidP="002B790F">
          <w:pPr>
            <w:pStyle w:val="af"/>
          </w:pPr>
        </w:p>
      </w:tc>
    </w:tr>
    <w:tr w:rsidR="00774C26" w:rsidTr="00774C26">
      <w:trPr>
        <w:trHeight w:val="332"/>
      </w:trPr>
      <w:tc>
        <w:tcPr>
          <w:tcW w:w="935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74C26" w:rsidRDefault="00774C26" w:rsidP="002B790F">
          <w:pPr>
            <w:pStyle w:val="af"/>
            <w:jc w:val="center"/>
          </w:pPr>
          <w:r w:rsidRPr="00847C9E">
            <w:rPr>
              <w:rFonts w:ascii="Times New Roman" w:hAnsi="Times New Roman"/>
              <w:color w:val="595959" w:themeColor="text1" w:themeTint="A6"/>
              <w:sz w:val="20"/>
              <w:szCs w:val="20"/>
            </w:rPr>
            <w:t xml:space="preserve">Официальная статистическая информация по </w:t>
          </w:r>
          <w:proofErr w:type="gramStart"/>
          <w:r>
            <w:rPr>
              <w:rFonts w:ascii="Times New Roman" w:hAnsi="Times New Roman"/>
              <w:color w:val="595959" w:themeColor="text1" w:themeTint="A6"/>
              <w:sz w:val="20"/>
              <w:szCs w:val="20"/>
            </w:rPr>
            <w:t>Московской</w:t>
          </w:r>
          <w:proofErr w:type="gramEnd"/>
          <w:r>
            <w:rPr>
              <w:rFonts w:ascii="Times New Roman" w:hAnsi="Times New Roman"/>
              <w:color w:val="595959" w:themeColor="text1" w:themeTint="A6"/>
              <w:sz w:val="20"/>
              <w:szCs w:val="20"/>
            </w:rPr>
            <w:t xml:space="preserve"> области</w:t>
          </w:r>
        </w:p>
      </w:tc>
    </w:tr>
  </w:tbl>
  <w:p w:rsidR="00A069F6" w:rsidRPr="00774C26" w:rsidRDefault="00A069F6" w:rsidP="00774C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97" w:rsidRDefault="00615C97" w:rsidP="002A53DB">
      <w:pPr>
        <w:spacing w:after="0" w:line="240" w:lineRule="auto"/>
      </w:pPr>
      <w:r>
        <w:separator/>
      </w:r>
    </w:p>
  </w:footnote>
  <w:footnote w:type="continuationSeparator" w:id="0">
    <w:p w:rsidR="00615C97" w:rsidRDefault="00615C97" w:rsidP="002A53DB">
      <w:pPr>
        <w:spacing w:after="0" w:line="240" w:lineRule="auto"/>
      </w:pPr>
      <w:r>
        <w:continuationSeparator/>
      </w:r>
    </w:p>
  </w:footnote>
  <w:footnote w:id="1">
    <w:p w:rsidR="00A549FF" w:rsidRDefault="00A549FF" w:rsidP="00A549FF">
      <w:pPr>
        <w:pStyle w:val="a6"/>
      </w:pPr>
      <w:r>
        <w:rPr>
          <w:rStyle w:val="a8"/>
        </w:rPr>
        <w:t>1)</w:t>
      </w:r>
      <w:r>
        <w:t xml:space="preserve"> 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 полному кругу хозяйствующих субъектов, включая </w:t>
      </w:r>
      <w:proofErr w:type="spellStart"/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досчеты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на инвестиции, не наблюдаемые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прямыми статистическими методами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265AD"/>
    <w:rsid w:val="000F3D35"/>
    <w:rsid w:val="00170599"/>
    <w:rsid w:val="00172EE0"/>
    <w:rsid w:val="001958AE"/>
    <w:rsid w:val="001F59A3"/>
    <w:rsid w:val="00220BF4"/>
    <w:rsid w:val="00257541"/>
    <w:rsid w:val="002A53DB"/>
    <w:rsid w:val="00444B13"/>
    <w:rsid w:val="004C6380"/>
    <w:rsid w:val="0051636E"/>
    <w:rsid w:val="0052312D"/>
    <w:rsid w:val="005916A8"/>
    <w:rsid w:val="005B4E30"/>
    <w:rsid w:val="005B7214"/>
    <w:rsid w:val="005D541F"/>
    <w:rsid w:val="00614040"/>
    <w:rsid w:val="00615C97"/>
    <w:rsid w:val="0063576E"/>
    <w:rsid w:val="00774C26"/>
    <w:rsid w:val="00791A5B"/>
    <w:rsid w:val="00797D1E"/>
    <w:rsid w:val="0080473A"/>
    <w:rsid w:val="008B4E43"/>
    <w:rsid w:val="008E7557"/>
    <w:rsid w:val="00A05272"/>
    <w:rsid w:val="00A069F6"/>
    <w:rsid w:val="00A549FF"/>
    <w:rsid w:val="00A90969"/>
    <w:rsid w:val="00AD6F40"/>
    <w:rsid w:val="00B65DC1"/>
    <w:rsid w:val="00BA58E4"/>
    <w:rsid w:val="00BE468D"/>
    <w:rsid w:val="00C443F2"/>
    <w:rsid w:val="00C924BD"/>
    <w:rsid w:val="00DF0996"/>
    <w:rsid w:val="00E00EC5"/>
    <w:rsid w:val="00E5366C"/>
    <w:rsid w:val="00E93BB7"/>
    <w:rsid w:val="00F212B9"/>
    <w:rsid w:val="00F3190E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365E-E997-4095-84E3-86BFE444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Миронова Алина Александровна</cp:lastModifiedBy>
  <cp:revision>18</cp:revision>
  <dcterms:created xsi:type="dcterms:W3CDTF">2020-06-18T13:58:00Z</dcterms:created>
  <dcterms:modified xsi:type="dcterms:W3CDTF">2021-08-25T07:08:00Z</dcterms:modified>
</cp:coreProperties>
</file>